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69" w:rsidRDefault="00BE29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E2969" w:rsidRDefault="00BE2969">
      <w:pPr>
        <w:pStyle w:val="ConsPlusNormal"/>
        <w:jc w:val="both"/>
        <w:outlineLvl w:val="0"/>
      </w:pPr>
    </w:p>
    <w:p w:rsidR="00BE2969" w:rsidRDefault="00BE2969">
      <w:pPr>
        <w:pStyle w:val="ConsPlusTitle"/>
        <w:jc w:val="center"/>
        <w:outlineLvl w:val="0"/>
      </w:pPr>
      <w:r>
        <w:t>ГОСУДАРСТВЕННЫЙ КОМИТЕТ</w:t>
      </w:r>
    </w:p>
    <w:p w:rsidR="00BE2969" w:rsidRDefault="00BE2969">
      <w:pPr>
        <w:pStyle w:val="ConsPlusTitle"/>
        <w:jc w:val="center"/>
      </w:pPr>
      <w:r>
        <w:t>КАБАРДИНО-БАЛКАРСКОЙ РЕСПУБЛИКИ</w:t>
      </w:r>
    </w:p>
    <w:p w:rsidR="00BE2969" w:rsidRDefault="00BE2969">
      <w:pPr>
        <w:pStyle w:val="ConsPlusTitle"/>
        <w:jc w:val="center"/>
      </w:pPr>
      <w:r>
        <w:t>ПО ЭНЕРГЕТИКЕ И ТАРИФАМ</w:t>
      </w:r>
    </w:p>
    <w:p w:rsidR="00BE2969" w:rsidRDefault="00BE2969">
      <w:pPr>
        <w:pStyle w:val="ConsPlusTitle"/>
        <w:jc w:val="center"/>
      </w:pPr>
    </w:p>
    <w:p w:rsidR="00BE2969" w:rsidRDefault="00BE2969">
      <w:pPr>
        <w:pStyle w:val="ConsPlusTitle"/>
        <w:jc w:val="center"/>
      </w:pPr>
      <w:r>
        <w:t>ПРИКАЗ</w:t>
      </w:r>
    </w:p>
    <w:p w:rsidR="00BE2969" w:rsidRDefault="00BE2969">
      <w:pPr>
        <w:pStyle w:val="ConsPlusTitle"/>
        <w:jc w:val="center"/>
      </w:pPr>
      <w:r>
        <w:t>от 20 июня 2014 г. N 9</w:t>
      </w:r>
    </w:p>
    <w:p w:rsidR="00BE2969" w:rsidRDefault="00BE2969">
      <w:pPr>
        <w:pStyle w:val="ConsPlusTitle"/>
        <w:jc w:val="center"/>
      </w:pPr>
    </w:p>
    <w:p w:rsidR="00BE2969" w:rsidRDefault="00BE2969">
      <w:pPr>
        <w:pStyle w:val="ConsPlusTitle"/>
        <w:jc w:val="center"/>
      </w:pPr>
      <w:r>
        <w:t xml:space="preserve">ОБ УТВЕРЖДЕНИИ НОРМАТИВОВ ПОТРЕБЛЕНИЯ </w:t>
      </w:r>
      <w:proofErr w:type="gramStart"/>
      <w:r>
        <w:t>КОММУНАЛЬНОЙ</w:t>
      </w:r>
      <w:proofErr w:type="gramEnd"/>
    </w:p>
    <w:p w:rsidR="00BE2969" w:rsidRDefault="00BE2969">
      <w:pPr>
        <w:pStyle w:val="ConsPlusTitle"/>
        <w:jc w:val="center"/>
      </w:pPr>
      <w:r>
        <w:t>УСЛУГИ ПО ОТОПЛЕНИЮ МНОГОКВАРТИРНЫХ И ЖИЛЫХ ДОМОВ</w:t>
      </w:r>
    </w:p>
    <w:p w:rsidR="00BE2969" w:rsidRDefault="00BE2969">
      <w:pPr>
        <w:pStyle w:val="ConsPlusTitle"/>
        <w:jc w:val="center"/>
      </w:pPr>
      <w:r>
        <w:t>С ЦЕНТРАЛИЗОВАННЫМИ СИСТЕМАМИ ТЕПЛОСНАБЖЕНИЯ</w:t>
      </w:r>
    </w:p>
    <w:p w:rsidR="00BE2969" w:rsidRDefault="00BE2969">
      <w:pPr>
        <w:pStyle w:val="ConsPlusTitle"/>
        <w:jc w:val="center"/>
      </w:pPr>
      <w:r>
        <w:t>НА ТЕРРИТОРИИ КАБАРДИНО-БАЛКАРСКОЙ РЕСПУБЛИКИ</w:t>
      </w:r>
    </w:p>
    <w:p w:rsidR="00BE2969" w:rsidRDefault="00BE29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E29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2969" w:rsidRDefault="00BE2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969" w:rsidRDefault="00BE29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ГКЭТиЖН КБР от 20.05.2015 </w:t>
            </w:r>
            <w:hyperlink r:id="rId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2969" w:rsidRDefault="00BE29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22.07.2016 </w:t>
            </w:r>
            <w:hyperlink r:id="rId6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157</w:t>
        </w:r>
      </w:hyperlink>
      <w:r>
        <w:t xml:space="preserve"> Жилищного кодекса Российской Федерации, Постановлениями Правительства Российской Федерации от 23 мая 2006 года </w:t>
      </w:r>
      <w:hyperlink r:id="rId8" w:history="1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услуг", от 6 мая 2011 года </w:t>
      </w:r>
      <w:hyperlink r:id="rId9" w:history="1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Государственном комитете Кабардино-Балкарской Республики по</w:t>
      </w:r>
      <w:proofErr w:type="gramEnd"/>
      <w:r>
        <w:t xml:space="preserve"> энергетике и тарифам, утвержденным Постановлением Правительства Кабардино-Балкарской Республики от 14 апреля 2014 года N 56-ПП, приказываю: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отоплению в жилых помещениях в многоквартирных и жилых домах с централизованными системами теплоснабжения с применением расчетного метода согласно приложению N 1 к настоящему Приказу.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 xml:space="preserve">1(1). Утратил силу с 1 июля 2016 года. - </w:t>
      </w:r>
      <w:hyperlink r:id="rId11" w:history="1">
        <w:r>
          <w:rPr>
            <w:color w:val="0000FF"/>
          </w:rPr>
          <w:t>Приказ</w:t>
        </w:r>
      </w:hyperlink>
      <w:r>
        <w:t xml:space="preserve"> ГКЭТиЖН КБР от 22.07.2016 N 11.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>2. Установить, что нормативы потребления коммунальных услуг, утвержденные настоящим Приказом, действуют с 1 июля 2014 года.</w:t>
      </w:r>
    </w:p>
    <w:p w:rsidR="00BE2969" w:rsidRDefault="00BE296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ГКЭТиЖН КБР от 22.07.2016 N 11)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>3. Нормативы потребления коммунальной услуги по отоплению, установленные органами местного самоуправления Кабардино-Балкарской Республики, подлежат отмене с 1 июля 2014 года.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>4. Настоящий Приказ вступает в силу со дня официального опубликования.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right"/>
      </w:pPr>
      <w:r>
        <w:t>Председатель</w:t>
      </w:r>
    </w:p>
    <w:p w:rsidR="00BE2969" w:rsidRDefault="00BE2969">
      <w:pPr>
        <w:pStyle w:val="ConsPlusNormal"/>
        <w:jc w:val="right"/>
      </w:pPr>
      <w:r>
        <w:t>Т.КУЧМЕНОВ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sectPr w:rsidR="00BE2969" w:rsidSect="002913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2969" w:rsidRDefault="00BE2969">
      <w:pPr>
        <w:pStyle w:val="ConsPlusNormal"/>
        <w:jc w:val="right"/>
        <w:outlineLvl w:val="0"/>
      </w:pPr>
      <w:r>
        <w:lastRenderedPageBreak/>
        <w:t>Приложение N 1</w:t>
      </w:r>
    </w:p>
    <w:p w:rsidR="00BE2969" w:rsidRDefault="00BE2969">
      <w:pPr>
        <w:pStyle w:val="ConsPlusNormal"/>
        <w:jc w:val="right"/>
      </w:pPr>
      <w:r>
        <w:t>к Приказу</w:t>
      </w:r>
    </w:p>
    <w:p w:rsidR="00BE2969" w:rsidRDefault="00BE2969">
      <w:pPr>
        <w:pStyle w:val="ConsPlusNormal"/>
        <w:jc w:val="right"/>
      </w:pPr>
      <w:r>
        <w:t>Государственного комитета</w:t>
      </w:r>
    </w:p>
    <w:p w:rsidR="00BE2969" w:rsidRDefault="00BE2969">
      <w:pPr>
        <w:pStyle w:val="ConsPlusNormal"/>
        <w:jc w:val="right"/>
      </w:pPr>
      <w:r>
        <w:t>Кабардино-Балкарской Республики</w:t>
      </w:r>
    </w:p>
    <w:p w:rsidR="00BE2969" w:rsidRDefault="00BE2969">
      <w:pPr>
        <w:pStyle w:val="ConsPlusNormal"/>
        <w:jc w:val="right"/>
      </w:pPr>
      <w:r>
        <w:t>по энергетике и тарифам</w:t>
      </w:r>
    </w:p>
    <w:p w:rsidR="00BE2969" w:rsidRDefault="00BE2969">
      <w:pPr>
        <w:pStyle w:val="ConsPlusNormal"/>
        <w:jc w:val="right"/>
      </w:pPr>
      <w:r>
        <w:t>от 20 июня 2014 г. N 9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Title"/>
        <w:jc w:val="center"/>
      </w:pPr>
      <w:bookmarkStart w:id="0" w:name="P38"/>
      <w:bookmarkEnd w:id="0"/>
      <w:r>
        <w:t>НОРМАТИВЫ</w:t>
      </w:r>
    </w:p>
    <w:p w:rsidR="00BE2969" w:rsidRDefault="00BE2969">
      <w:pPr>
        <w:pStyle w:val="ConsPlusTitle"/>
        <w:jc w:val="center"/>
      </w:pPr>
      <w:r>
        <w:t>ПОТРЕБЛЕНИЯ КОММУНАЛЬНОЙ УСЛУГИ</w:t>
      </w:r>
    </w:p>
    <w:p w:rsidR="00BE2969" w:rsidRDefault="00BE2969">
      <w:pPr>
        <w:pStyle w:val="ConsPlusTitle"/>
        <w:jc w:val="center"/>
      </w:pPr>
      <w:r>
        <w:t>ПО ОТОПЛЕНИЮ В ЖИЛЫХ ПОМЕЩЕНИЯХ</w:t>
      </w:r>
    </w:p>
    <w:p w:rsidR="00BE2969" w:rsidRDefault="00BE2969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E29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2969" w:rsidRDefault="00BE29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969" w:rsidRDefault="00BE29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ГКЭТиЖН КБР от 20.05.2015 N 13)</w:t>
            </w:r>
          </w:p>
        </w:tc>
      </w:tr>
    </w:tbl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right"/>
      </w:pPr>
      <w:r>
        <w:t>Гкал на 1 кв. м общей площади</w:t>
      </w:r>
    </w:p>
    <w:p w:rsidR="00BE2969" w:rsidRDefault="00BE2969">
      <w:pPr>
        <w:pStyle w:val="ConsPlusNormal"/>
        <w:jc w:val="right"/>
      </w:pPr>
      <w:r>
        <w:t xml:space="preserve">всех помещений в </w:t>
      </w:r>
      <w:proofErr w:type="gramStart"/>
      <w:r>
        <w:t>многоквартирном</w:t>
      </w:r>
      <w:proofErr w:type="gramEnd"/>
    </w:p>
    <w:p w:rsidR="00BE2969" w:rsidRDefault="00BE2969">
      <w:pPr>
        <w:pStyle w:val="ConsPlusNormal"/>
        <w:jc w:val="right"/>
      </w:pPr>
      <w:proofErr w:type="gramStart"/>
      <w:r>
        <w:t>доме</w:t>
      </w:r>
      <w:proofErr w:type="gramEnd"/>
      <w:r>
        <w:t xml:space="preserve"> или жилого дома</w:t>
      </w:r>
    </w:p>
    <w:p w:rsidR="00BE2969" w:rsidRDefault="00BE29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3798"/>
        <w:gridCol w:w="3969"/>
      </w:tblGrid>
      <w:tr w:rsidR="00BE2969">
        <w:tc>
          <w:tcPr>
            <w:tcW w:w="1814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Категория многоквартирного дома (жилого дома)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Норматив потребления коммунальной услуги по отоплению многоквартирных и жилых домов до 1999 года постройки (включительно) (Гкал на 1 кв. метр общей площади всех помещений в многоквартирном доме или жилого дома, в месяц)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Норматив потребления коммунальной услуги по отоплению многоквартирных и жилых домов после 1999 года постройки (Гкал на 1 кв. метр общей площади всех помещений в многоквартирном доме или жилого дома, в месяц)</w:t>
            </w:r>
          </w:p>
        </w:tc>
      </w:tr>
      <w:tr w:rsidR="00BE2969">
        <w:tc>
          <w:tcPr>
            <w:tcW w:w="1814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3</w:t>
            </w:r>
          </w:p>
        </w:tc>
      </w:tr>
      <w:tr w:rsidR="00BE2969">
        <w:tc>
          <w:tcPr>
            <w:tcW w:w="9581" w:type="dxa"/>
            <w:gridSpan w:val="3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Городские округа: Нальчик, Баксан, Прохладный; Баксанский, Прохладненский, Зольский, Майский, Урванский, Терский, Чегемский муниципальные районы</w:t>
            </w:r>
          </w:p>
        </w:tc>
      </w:tr>
      <w:tr w:rsidR="00BE2969">
        <w:tc>
          <w:tcPr>
            <w:tcW w:w="1814" w:type="dxa"/>
            <w:tcBorders>
              <w:bottom w:val="nil"/>
            </w:tcBorders>
          </w:tcPr>
          <w:p w:rsidR="00BE2969" w:rsidRDefault="00BE2969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7767" w:type="dxa"/>
            <w:gridSpan w:val="2"/>
          </w:tcPr>
          <w:p w:rsidR="00BE2969" w:rsidRDefault="00BE2969">
            <w:pPr>
              <w:pStyle w:val="ConsPlusNormal"/>
            </w:pP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0,0090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0,0090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0,0090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0,0190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0,0090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1814" w:type="dxa"/>
            <w:tcBorders>
              <w:top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16 и более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0,0180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0,0080</w:t>
            </w:r>
          </w:p>
        </w:tc>
      </w:tr>
      <w:tr w:rsidR="00BE2969">
        <w:tc>
          <w:tcPr>
            <w:tcW w:w="9581" w:type="dxa"/>
            <w:gridSpan w:val="3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Городское поселение Тырныауз, Черекский муниципальный район</w:t>
            </w:r>
          </w:p>
        </w:tc>
      </w:tr>
      <w:tr w:rsidR="00BE2969">
        <w:tc>
          <w:tcPr>
            <w:tcW w:w="1814" w:type="dxa"/>
            <w:tcBorders>
              <w:bottom w:val="nil"/>
            </w:tcBorders>
          </w:tcPr>
          <w:p w:rsidR="00BE2969" w:rsidRDefault="00BE2969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3798" w:type="dxa"/>
          </w:tcPr>
          <w:p w:rsidR="00BE2969" w:rsidRDefault="00BE2969">
            <w:pPr>
              <w:pStyle w:val="ConsPlusNormal"/>
            </w:pPr>
          </w:p>
        </w:tc>
        <w:tc>
          <w:tcPr>
            <w:tcW w:w="3969" w:type="dxa"/>
          </w:tcPr>
          <w:p w:rsidR="00BE2969" w:rsidRDefault="00BE2969">
            <w:pPr>
              <w:pStyle w:val="ConsPlusNormal"/>
            </w:pP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0,0110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0,0110</w:t>
            </w: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0,0230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0,0110</w:t>
            </w:r>
          </w:p>
        </w:tc>
      </w:tr>
      <w:tr w:rsidR="00BE2969">
        <w:tc>
          <w:tcPr>
            <w:tcW w:w="1814" w:type="dxa"/>
            <w:tcBorders>
              <w:top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798" w:type="dxa"/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0,0190</w:t>
            </w:r>
          </w:p>
        </w:tc>
        <w:tc>
          <w:tcPr>
            <w:tcW w:w="3969" w:type="dxa"/>
          </w:tcPr>
          <w:p w:rsidR="00BE2969" w:rsidRDefault="00BE2969">
            <w:pPr>
              <w:pStyle w:val="ConsPlusNormal"/>
            </w:pPr>
          </w:p>
        </w:tc>
      </w:tr>
      <w:tr w:rsidR="00BE2969">
        <w:tc>
          <w:tcPr>
            <w:tcW w:w="9581" w:type="dxa"/>
            <w:gridSpan w:val="3"/>
          </w:tcPr>
          <w:p w:rsidR="00BE2969" w:rsidRDefault="00BE2969">
            <w:pPr>
              <w:pStyle w:val="ConsPlusNormal"/>
              <w:jc w:val="center"/>
            </w:pPr>
            <w:r>
              <w:t>Сельское поселение Эльбрус, село Терскол, село Нейтрино</w:t>
            </w:r>
          </w:p>
        </w:tc>
      </w:tr>
      <w:tr w:rsidR="00BE2969">
        <w:tc>
          <w:tcPr>
            <w:tcW w:w="1814" w:type="dxa"/>
            <w:tcBorders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7767" w:type="dxa"/>
            <w:gridSpan w:val="2"/>
          </w:tcPr>
          <w:p w:rsidR="00BE2969" w:rsidRDefault="00BE2969">
            <w:pPr>
              <w:pStyle w:val="ConsPlusNormal"/>
            </w:pPr>
          </w:p>
        </w:tc>
      </w:tr>
      <w:tr w:rsidR="00BE2969">
        <w:tc>
          <w:tcPr>
            <w:tcW w:w="1814" w:type="dxa"/>
            <w:tcBorders>
              <w:top w:val="nil"/>
              <w:bottom w:val="nil"/>
            </w:tcBorders>
            <w:vAlign w:val="bottom"/>
          </w:tcPr>
          <w:p w:rsidR="00BE2969" w:rsidRDefault="00BE29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3969" w:type="dxa"/>
          </w:tcPr>
          <w:p w:rsidR="00BE2969" w:rsidRDefault="00BE2969">
            <w:pPr>
              <w:pStyle w:val="ConsPlusNormal"/>
            </w:pPr>
          </w:p>
        </w:tc>
      </w:tr>
      <w:tr w:rsidR="00BE2969">
        <w:tc>
          <w:tcPr>
            <w:tcW w:w="1814" w:type="dxa"/>
            <w:tcBorders>
              <w:top w:val="nil"/>
            </w:tcBorders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798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0,0240</w:t>
            </w:r>
          </w:p>
        </w:tc>
        <w:tc>
          <w:tcPr>
            <w:tcW w:w="3969" w:type="dxa"/>
            <w:vAlign w:val="center"/>
          </w:tcPr>
          <w:p w:rsidR="00BE2969" w:rsidRDefault="00BE2969">
            <w:pPr>
              <w:pStyle w:val="ConsPlusNormal"/>
              <w:jc w:val="center"/>
            </w:pPr>
            <w:r>
              <w:t>0,0120</w:t>
            </w:r>
          </w:p>
        </w:tc>
      </w:tr>
    </w:tbl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ind w:firstLine="540"/>
        <w:jc w:val="both"/>
      </w:pPr>
      <w:r>
        <w:t>Примечание:</w:t>
      </w:r>
    </w:p>
    <w:p w:rsidR="00BE2969" w:rsidRDefault="00BE2969">
      <w:pPr>
        <w:pStyle w:val="ConsPlusNormal"/>
        <w:spacing w:before="220"/>
        <w:ind w:firstLine="540"/>
        <w:jc w:val="both"/>
      </w:pPr>
      <w:r>
        <w:t xml:space="preserve">Нормативы определены </w:t>
      </w:r>
      <w:proofErr w:type="gramStart"/>
      <w:r>
        <w:t>исходя из продолжительности отопительного периода, равного 7 календарным месяцам во всех муниципальных образованиях Кабардино-Балкарской Республики за исключением сельского поселения Эльбрус, село</w:t>
      </w:r>
      <w:proofErr w:type="gramEnd"/>
      <w:r>
        <w:t xml:space="preserve"> Терскол, село Нейтрино. В сельском поселении Эльбрус, село Терскол, село Нейтрино нормативы определены исходя из продолжительности отопительного периода, равного 8 календарным месяцам.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right"/>
        <w:outlineLvl w:val="0"/>
      </w:pPr>
      <w:r>
        <w:t>Приложение N 2</w:t>
      </w:r>
    </w:p>
    <w:p w:rsidR="00BE2969" w:rsidRDefault="00BE2969">
      <w:pPr>
        <w:pStyle w:val="ConsPlusNormal"/>
        <w:jc w:val="right"/>
      </w:pPr>
      <w:r>
        <w:t>к приказу</w:t>
      </w:r>
    </w:p>
    <w:p w:rsidR="00BE2969" w:rsidRDefault="00BE2969">
      <w:pPr>
        <w:pStyle w:val="ConsPlusNormal"/>
        <w:jc w:val="right"/>
      </w:pPr>
      <w:r>
        <w:t>Государственного комитета</w:t>
      </w:r>
    </w:p>
    <w:p w:rsidR="00BE2969" w:rsidRDefault="00BE2969">
      <w:pPr>
        <w:pStyle w:val="ConsPlusNormal"/>
        <w:jc w:val="right"/>
      </w:pPr>
      <w:r>
        <w:t>Кабардино-Балкарской Республики</w:t>
      </w:r>
    </w:p>
    <w:p w:rsidR="00BE2969" w:rsidRDefault="00BE2969">
      <w:pPr>
        <w:pStyle w:val="ConsPlusNormal"/>
        <w:jc w:val="right"/>
      </w:pPr>
      <w:r>
        <w:t>по энергетике и тарифам</w:t>
      </w:r>
    </w:p>
    <w:p w:rsidR="00BE2969" w:rsidRDefault="00BE2969">
      <w:pPr>
        <w:pStyle w:val="ConsPlusNormal"/>
        <w:jc w:val="right"/>
      </w:pPr>
      <w:r>
        <w:t>от 20 июня 2014 г. N 9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Title"/>
        <w:jc w:val="center"/>
      </w:pPr>
      <w:r>
        <w:t>НОРМАТИВЫ</w:t>
      </w:r>
    </w:p>
    <w:p w:rsidR="00BE2969" w:rsidRDefault="00BE2969">
      <w:pPr>
        <w:pStyle w:val="ConsPlusTitle"/>
        <w:jc w:val="center"/>
      </w:pPr>
      <w:r>
        <w:t>ПОТРЕБЛЕНИЯ КОММУНАЛЬНОЙ УСЛУГИ</w:t>
      </w:r>
    </w:p>
    <w:p w:rsidR="00BE2969" w:rsidRDefault="00BE2969">
      <w:pPr>
        <w:pStyle w:val="ConsPlusTitle"/>
        <w:jc w:val="center"/>
      </w:pPr>
      <w:r>
        <w:t>ПО ОТОПЛЕНИЮ В ЖИЛЫХ ПОМЕЩЕНИЯХ ПРИ НАЛИЧИИ</w:t>
      </w:r>
    </w:p>
    <w:p w:rsidR="00BE2969" w:rsidRDefault="00BE2969">
      <w:pPr>
        <w:pStyle w:val="ConsPlusTitle"/>
        <w:jc w:val="center"/>
      </w:pPr>
      <w:r>
        <w:t xml:space="preserve">ТЕХНИЧЕСКОЙ ВОЗМОЖНОСТИ УСТАНОВКИ </w:t>
      </w:r>
      <w:proofErr w:type="gramStart"/>
      <w:r>
        <w:t>КОЛЛЕКТИВНЫХ</w:t>
      </w:r>
      <w:proofErr w:type="gramEnd"/>
    </w:p>
    <w:p w:rsidR="00BE2969" w:rsidRDefault="00BE2969">
      <w:pPr>
        <w:pStyle w:val="ConsPlusTitle"/>
        <w:jc w:val="center"/>
      </w:pPr>
      <w:r>
        <w:t>(ОБЩЕДОМОВЫХ) ПРИБОРОВ УЧЕТА</w:t>
      </w:r>
    </w:p>
    <w:p w:rsidR="00BE2969" w:rsidRDefault="00BE2969">
      <w:pPr>
        <w:pStyle w:val="ConsPlusNormal"/>
        <w:jc w:val="center"/>
      </w:pPr>
    </w:p>
    <w:p w:rsidR="00BE2969" w:rsidRDefault="00BE2969">
      <w:pPr>
        <w:pStyle w:val="ConsPlusNormal"/>
        <w:ind w:firstLine="540"/>
        <w:jc w:val="both"/>
      </w:pPr>
      <w:r>
        <w:t xml:space="preserve">Утратило силу с 1 июля 2016 года. - </w:t>
      </w:r>
      <w:hyperlink r:id="rId14" w:history="1">
        <w:r>
          <w:rPr>
            <w:color w:val="0000FF"/>
          </w:rPr>
          <w:t>Приказ</w:t>
        </w:r>
      </w:hyperlink>
      <w:r>
        <w:t xml:space="preserve"> ГКЭТиЖН КБР от 22.07.2016 N 11.</w:t>
      </w: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jc w:val="both"/>
      </w:pPr>
    </w:p>
    <w:p w:rsidR="00BE2969" w:rsidRDefault="00BE29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699" w:rsidRDefault="00314699"/>
    <w:sectPr w:rsidR="00314699" w:rsidSect="002038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2969"/>
    <w:rsid w:val="00314699"/>
    <w:rsid w:val="00B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06D96200211C2183FA994394F0DF7C8808A1FBBC0E1B7D4425E1285B6WCG" TargetMode="External"/><Relationship Id="rId13" Type="http://schemas.openxmlformats.org/officeDocument/2006/relationships/hyperlink" Target="consultantplus://offline/ref=B2406D96200211C2183FB7992F2350FACE8CDD11B9CAE2E1891D054FD26567709A2F4BEB2EB127BCF9B179BFW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406D96200211C2183FA994394F0DF7C88E8A19BFC1E1B7D4425E12856C6D27DD6012AFB6W3G" TargetMode="External"/><Relationship Id="rId12" Type="http://schemas.openxmlformats.org/officeDocument/2006/relationships/hyperlink" Target="consultantplus://offline/ref=B2406D96200211C2183FB7992F2350FACE8CDD11BECBECE48C1D054FD26567709A2F4BEB2EB127BCF9B178BFW8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06D96200211C2183FB7992F2350FACE8CDD11BECBECE48C1D054FD26567709A2F4BEB2EB127BCF9B178BFWAG" TargetMode="External"/><Relationship Id="rId11" Type="http://schemas.openxmlformats.org/officeDocument/2006/relationships/hyperlink" Target="consultantplus://offline/ref=B2406D96200211C2183FB7992F2350FACE8CDD11BECBECE48C1D054FD26567709A2F4BEB2EB127BCF9B178BFW9G" TargetMode="External"/><Relationship Id="rId5" Type="http://schemas.openxmlformats.org/officeDocument/2006/relationships/hyperlink" Target="consultantplus://offline/ref=B2406D96200211C2183FB7992F2350FACE8CDD11B9CAE2E1891D054FD26567709A2F4BEB2EB127BCF9B178BFWA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406D96200211C2183FB7992F2350FACE8CDD11B9C6E3E8801D054FD26567709A2F4BEB2EB127BCF9B179BFWC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406D96200211C2183FA994394F0DF7C88E871BBBC7E1B7D4425E1285B6WCG" TargetMode="External"/><Relationship Id="rId14" Type="http://schemas.openxmlformats.org/officeDocument/2006/relationships/hyperlink" Target="consultantplus://offline/ref=B2406D96200211C2183FB7992F2350FACE8CDD11BECBECE48C1D054FD26567709A2F4BEB2EB127BCF9B178BFW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2018-06-28T06:22:00Z</dcterms:created>
  <dcterms:modified xsi:type="dcterms:W3CDTF">2018-06-28T06:22:00Z</dcterms:modified>
</cp:coreProperties>
</file>